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питания в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питания в образовательной организации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Информация:</w:t>
            </w:r>
            <w:br/>
            <w:br/>
            <w:r>
              <w:rPr/>
              <w:t xml:space="preserve">об условиях питания и охраны здоровья обучающихся</w:t>
            </w:r>
            <w:br/>
            <w:br/>
            <w:r>
              <w:rPr/>
              <w:t xml:space="preserve">об условиях питания обучающихся по образовательным программамначального общего образования в государственных и муниципальныхобщеобразовательных организациях, в том числе:</w:t>
            </w:r>
            <w:br/>
            <w:br/>
            <w:r>
              <w:rPr/>
              <w:t xml:space="preserve">меню ежедневного горячего питания;</w:t>
            </w:r>
            <w:br/>
            <w:br/>
            <w:r>
              <w:rPr/>
              <w:t xml:space="preserve">информацию о наличии диетического меню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предпринимателей,оказывающих услуги по организации питания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предпринимателей,поставляющих (реализующих) пищевые продукты и продовольственноесырье в общеобразовательную организацию;</w:t>
            </w:r>
            <w:br/>
            <w:br/>
            <w:r>
              <w:rPr/>
              <w:t xml:space="preserve">форму обратной связи для родителей обучающихся и ответы на вопросыродителей по питанию.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