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об условиях питания, охраны здоровья, проживанияобучающихся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об условиях питания, охраны здоровья, проживанияобучающихся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 объекта</w:t>
            </w:r>
            <w:r>
              <w:rPr>
                <w:b w:val="1"/>
                <w:bCs w:val="1"/>
              </w:rPr>
              <w:t xml:space="preserve">Кол-во мест</w:t>
            </w:r>
            <w:r>
              <w:rPr>
                <w:b w:val="1"/>
                <w:bCs w:val="1"/>
              </w:rPr>
              <w:t xml:space="preserve">Площадь,м2</w:t>
            </w:r>
            <w:r>
              <w:rPr/>
              <w:t xml:space="preserve">1Столовая</w:t>
            </w:r>
            <w:br/>
            <w:r>
              <w:rPr/>
              <w:t xml:space="preserve">75</w:t>
            </w:r>
            <w:br/>
            <w:r>
              <w:rPr/>
              <w:t xml:space="preserve">443</w:t>
            </w:r>
            <w:br/>
            <w:r>
              <w:rPr/>
              <w:t xml:space="preserve">2Медицинский кабинет-193Общежитие408864Общежитие (с досуговымцентром)862662,74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2026-04-29T19:31:01+03:00</dcterms:created>
  <dcterms:modified xsi:type="dcterms:W3CDTF">2026-04-29T19:31:01+03:00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