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«Рулевой (маломерного судна особой конструкции типа амфибияи 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 в#АСУНЦВытегра обучаются по программе профессиональной подготовки«Рулевой (маломерного судна особой конструкции типа амфибия иаэробот)» 12 спасателей МЧС России из Северо – Западного,Приволжского, Сибирского региональных поисково – спасательныхотрядов.</w:t>
            </w:r>
            <w:br/>
            <w:br/>
            <w:r>
              <w:rPr/>
              <w:t xml:space="preserve">В процессе обучения слушатели осваивают профессиональныекомпетенции по управлению маломерными судами: судном на воздушнойподушке «Арго» и аэролодкой «Пиранья», изучают порядок техническогообслуживания двигателей, вспомогательных механизмов и судовыхсистем данных маломерных судов, а также совершенствуют знания пообеспечению безопасности плавания.</w:t>
            </w:r>
            <w:br/>
            <w:br/>
            <w:r>
              <w:rPr/>
              <w:t xml:space="preserve">Сегодня в расписании обучающихся первое практическое занятие.Учимся определять цели, направление на ориентир, расстояние доориентира по радиолокатору.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2025-12-10T13:56:01+03:00</dcterms:created>
  <dcterms:modified xsi:type="dcterms:W3CDTF">2025-12-10T13:56:01+03:00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