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приняли участие вторжественном мероприятии, посвященном Дню Государственного флагаРФ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приняли участие в торжественноммероприятии, посвященном Дню Государственного флага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22 августа в России отмечают День Государственного флага</w:t>
            </w:r>
            <w:br/>
            <w:br/>
            <w:r>
              <w:rPr/>
              <w:t xml:space="preserve">Российский триколор – один из важнейших национальных символовРоссийской Федерации. Он олицетворяет великую Россию, объединяетнаш народ, вдохновляет на подвиги, укрепляет веру в светлоебудущее.</w:t>
            </w:r>
            <w:br/>
            <w:br/>
            <w:r>
              <w:rPr/>
              <w:t xml:space="preserve">Сегодня в нашем учреждении состоялось торжественное построениеличного состава с поднятием Государственного флага РФ.</w:t>
            </w:r>
            <w:br/>
            <w:br/>
            <w:r>
              <w:rPr/>
              <w:t xml:space="preserve">В 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цветсимволизирует благородство и откровенность; синий — верность,честность, безупречность; красный — мужество, смелость, великодушиеи любовь.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2026-03-20T17:46:18+03:00</dcterms:created>
  <dcterms:modified xsi:type="dcterms:W3CDTF">2026-03-20T17:46:18+03:00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