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праздничномбогослужении в честь иконы Божьей Матери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праздничном богослужениив честь иконы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Богослужение состоялось в храме преподобного Ионы Клименецкого</w:t>
            </w:r>
            <w:br/>
            <w:br/>
            <w:r>
              <w:rPr/>
              <w:t xml:space="preserve">Испокон веков в православной Руси люди верили в чудодейственнуюсилу образа Богородицы «Неопалимая Купина».</w:t>
            </w:r>
            <w:br/>
            <w:br/>
            <w:r>
              <w:rPr/>
              <w:t xml:space="preserve">Считается, что он защищает жилье и людей от пожаров, ударов молнии,стихийных бедствий.</w:t>
            </w:r>
            <w:br/>
            <w:br/>
            <w:r>
              <w:rPr/>
              <w:t xml:space="preserve">Во время пожара икону брали в руки и обходили с ней вокруг горящегодома, дабы отвратить беду с помощью Всевышнего.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2025-12-19T10:40:45+03:00</dcterms:created>
  <dcterms:modified xsi:type="dcterms:W3CDTF">2025-12-19T10:40:45+03:00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