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 #АСУНЦВытегра в составе группировки сил исредств Главного управления МЧС России по Вологодской областипродолжают поисковые работы на месте крушения вертолета вНюксенском районе.</w:t>
            </w:r>
            <w:br/>
            <w:br/>
            <w:r>
              <w:rPr/>
              <w:t xml:space="preserve">На плавсредствах обследуется акватория и береговая линия рек Сухонаи Малая Северная Двина, проводятся водолазные спуски вдольберегов.</w:t>
            </w:r>
            <w:br/>
            <w:br/>
            <w:r>
              <w:rPr/>
              <w:t xml:space="preserve">Также в поисках задействован водолазный телевизионный комплекс(ВТК).</w:t>
            </w:r>
            <w:br/>
            <w:br/>
            <w:r>
              <w:rPr/>
              <w:t xml:space="preserve">ВТК предназначен для подводной видеосъемки в условиях нормальной ипониженной прозрачности воды с передачей изображения по кабелю наповерхность на видеомонитор и видеозапись.</w:t>
            </w:r>
            <w:br/>
            <w:br/>
            <w:r>
              <w:rPr/>
              <w:t xml:space="preserve">Работа осложнена неблагоприятными погодными условиями.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2026-03-19T22:38:49+03:00</dcterms:created>
  <dcterms:modified xsi:type="dcterms:W3CDTF">2026-03-19T22:38:49+03:00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