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Поисковыеработы на реке Сухоне в Нюксенском районе продолжаются.</w:t>
            </w:r>
            <w:br/>
            <w:br/>
            <w:r>
              <w:rPr/>
              <w:t xml:space="preserve"> Специалисты продолжают обследовать береговую линию, спасатели#АСУНЦВытегра  обследуют акваторию подводным аппаратом«Фалкон».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2026-06-17T15:56:42+03:00</dcterms:created>
  <dcterms:modified xsi:type="dcterms:W3CDTF">2026-06-17T15:56:42+03:00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