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августа2019 г. в России отмечается День государственного флага.</w:t>
            </w:r>
            <w:br/>
            <w:r>
              <w:rPr/>
              <w:t xml:space="preserve">В этом году триколору исполняется 350 лет.</w:t>
            </w:r>
            <w:br/>
            <w:r>
              <w:rPr/>
              <w:t xml:space="preserve">Сотрудники МЧС России принимают участие в торжественныхмероприятиях, посвященных этому празднику.</w:t>
            </w:r>
            <w:br/>
            <w:r>
              <w:rPr/>
              <w:t xml:space="preserve">В нашем центре состоялись торжественное построение личного составас поднятием флага России, проводятся занятия по историигосударственных символов Российской Федерации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2026-06-18T02:50:57+03:00</dcterms:created>
  <dcterms:modified xsi:type="dcterms:W3CDTF">2026-06-18T02:50:57+03:00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