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Сегоднямузейную территорию АСУНЦ "Вытегра" посетили более 50 человек.</w:t>
            </w:r>
            <w:br/>
            <w:r>
              <w:rPr/>
              <w:t xml:space="preserve">Познакомиться с экспозициями музея "Наследие времен" и выставкой"Развитие авиации в Вытегорском районе" смогли не только жителиВашкинского, Шекснинского и Вологодского районов, но и спасатели изРеспублики Беларусь.</w:t>
            </w:r>
            <w:br/>
            <w:r>
              <w:rPr/>
              <w:t xml:space="preserve">В этот день - 22 июня -День памяти и скорби - гости центраподдержали Всероссийскую акцию "Свеча памяти" и зажгли в храме прп.Ионы Клименецкого свечи в память жертв Великой Отечественной войны1941-1945 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2026-06-11T02:03:56+03:00</dcterms:created>
  <dcterms:modified xsi:type="dcterms:W3CDTF">2026-06-11T02:03:56+03:00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