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Такие суда,как аэробот, амфибия, экраноплан и другие моторные суда специфичныеконструктивные признаки которых обеспечивают альтернативные способыих динамического перемещения, требуют наличия дополнительных знанийи умений и навыков во время эксплуатации. </w:t>
            </w:r>
            <w:br/>
            <w:r>
              <w:rPr/>
              <w:t xml:space="preserve">Обучится управлять данным видом плавсредств может любойсудоводитель. Для этих целей в 2017 году в АСУНЦ "Вытегра"разработана, утверждена и апробирована программа повышенияквалификации "Управление маломерными судами особой конструкции длялиц имеющих право управления маломерным судном".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2025-12-10T11:23:57+03:00</dcterms:created>
  <dcterms:modified xsi:type="dcterms:W3CDTF">2025-12-10T11:23:57+03:00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